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30"/>
        <w:gridCol w:w="2085"/>
        <w:gridCol w:w="1101"/>
      </w:tblGrid>
      <w:tr w:rsidR="00C72BB7" w:rsidRPr="00866A41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77426A7B" w:rsidR="00C72BB7" w:rsidRPr="00866A41" w:rsidRDefault="001C6EBD">
            <w:r>
              <w:rPr>
                <w:b/>
              </w:rPr>
              <w:t>Sessão 7: Abastecimento de água, saneamento e promoção da higiene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866A41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7217EB" w:rsidRPr="00866A41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723F" w14:textId="5EB37853" w:rsidR="007217EB" w:rsidRPr="00866A41" w:rsidRDefault="007217EB" w:rsidP="007217EB">
            <w:r>
              <w:rPr>
                <w:b/>
              </w:rPr>
              <w:t>Nota:</w:t>
            </w:r>
            <w:r>
              <w:t xml:space="preserve"> Esta sessão </w:t>
            </w:r>
            <w:r w:rsidR="00D1581B">
              <w:t xml:space="preserve">baseia-se </w:t>
            </w:r>
            <w:r>
              <w:t xml:space="preserve">principalmente </w:t>
            </w:r>
            <w:r w:rsidR="00FC717A">
              <w:t xml:space="preserve">em </w:t>
            </w:r>
            <w:r>
              <w:t xml:space="preserve">conhecimentos (explicando as normas e indicadores WASH e fornecendo contexto para os mesmos) e </w:t>
            </w:r>
            <w:r w:rsidR="00FC717A">
              <w:t xml:space="preserve">é </w:t>
            </w:r>
            <w:r>
              <w:t xml:space="preserve">parcialmente orientada para a atitude (aumentando a consciência da importância da programação WASH). Há um trabalho de competências mínimas, sob a forma de uma atividade em que os participantes assistem a um vídeo sobre um programa WASH e </w:t>
            </w:r>
            <w:r w:rsidR="00FC717A">
              <w:t xml:space="preserve">elaboram </w:t>
            </w:r>
            <w:r>
              <w:t>uma avaliação simplificada do programa (incluindo alguma</w:t>
            </w:r>
            <w:r w:rsidR="00FC717A">
              <w:t xml:space="preserve"> matemática em </w:t>
            </w:r>
            <w:r w:rsidR="00FC717A" w:rsidRPr="00FC717A">
              <w:t xml:space="preserve">termos </w:t>
            </w:r>
            <w:r w:rsidRPr="00FC717A">
              <w:t>humanitári</w:t>
            </w:r>
            <w:r w:rsidR="00FC717A" w:rsidRPr="00FC717A">
              <w:t>o</w:t>
            </w:r>
            <w:r w:rsidRPr="00FC717A">
              <w:t>s).</w:t>
            </w:r>
            <w:r>
              <w:t xml:space="preserve"> A tónica é </w:t>
            </w:r>
            <w:r w:rsidR="00FC717A">
              <w:t xml:space="preserve">colocada </w:t>
            </w:r>
            <w:r>
              <w:t>na importância de quebrar as vias de contaminação causadoras de doenças como um objetivo central da programação WASH e como um</w:t>
            </w:r>
            <w:r w:rsidR="00FC717A">
              <w:t xml:space="preserve"> fundamento </w:t>
            </w:r>
            <w:r>
              <w:t xml:space="preserve">para os seis temas padrão WASH. Os exercícios visuais e táteis permitem aos participantes visualizar volumes, turbidez (clareza relativa), e experimentar a sensação de transportar bidões de água cheios à distância máxima aconselhada pela Esfera. Os indicadores </w:t>
            </w:r>
            <w:r w:rsidR="00FC717A">
              <w:t xml:space="preserve">salientados </w:t>
            </w:r>
            <w:r>
              <w:t>nesta sessão foram selecionados porque são os mais fáceis de visualizar e assimilar através da aprendizagem experimental, de forma a que números abstratos possam ser compreendidos “em termos humanos”. A sessão inclui:</w:t>
            </w:r>
          </w:p>
          <w:p w14:paraId="599C6715" w14:textId="3672484F" w:rsidR="00D6040B" w:rsidRPr="00866A41" w:rsidRDefault="007217EB" w:rsidP="00297DCB">
            <w:pPr>
              <w:ind w:left="270" w:hanging="270"/>
            </w:pPr>
            <w:r>
              <w:t>1.</w:t>
            </w:r>
            <w:r>
              <w:tab/>
            </w:r>
            <w:bookmarkStart w:id="0" w:name="_Hlk76074412"/>
            <w:r w:rsidR="00802544">
              <w:t xml:space="preserve">Uma </w:t>
            </w:r>
            <w:r w:rsidR="00802544">
              <w:rPr>
                <w:b/>
                <w:bCs/>
              </w:rPr>
              <w:t>apresentação em PowerPoint</w:t>
            </w:r>
            <w:r w:rsidR="00802544">
              <w:t xml:space="preserve"> - com notas do formador na Vis</w:t>
            </w:r>
            <w:r w:rsidR="00744E55">
              <w:t>ta</w:t>
            </w:r>
            <w:r w:rsidR="00802544">
              <w:t xml:space="preserve"> de Notas”, que explicam os temas-chave nos diapositivos e fornecem instruções para as atividades e a sua avaliação.</w:t>
            </w:r>
            <w:bookmarkEnd w:id="0"/>
          </w:p>
          <w:p w14:paraId="528B1237" w14:textId="45F9CF00" w:rsidR="00D6040B" w:rsidRPr="00866A41" w:rsidRDefault="00FB66E8" w:rsidP="00297DCB">
            <w:pPr>
              <w:ind w:left="270" w:hanging="270"/>
            </w:pPr>
            <w:r>
              <w:t>2.</w:t>
            </w:r>
            <w:r>
              <w:tab/>
              <w:t xml:space="preserve">Um </w:t>
            </w:r>
            <w:r>
              <w:rPr>
                <w:b/>
                <w:bCs/>
              </w:rPr>
              <w:t>exercício em pequenos grupos</w:t>
            </w:r>
            <w:r>
              <w:t xml:space="preserve"> em que os participantes devem ligar os “cinco elementos F” das vias patogénicas às seis categorias de normas WASH da Esfera.</w:t>
            </w:r>
          </w:p>
          <w:p w14:paraId="6D073DD1" w14:textId="095CFDD4" w:rsidR="00D6040B" w:rsidRPr="00866A41" w:rsidRDefault="00FB66E8" w:rsidP="00297DCB">
            <w:pPr>
              <w:ind w:left="270" w:hanging="270"/>
            </w:pPr>
            <w:r>
              <w:t>3.</w:t>
            </w:r>
            <w:r>
              <w:tab/>
            </w:r>
            <w:r>
              <w:rPr>
                <w:b/>
                <w:bCs/>
              </w:rPr>
              <w:t>Atividades táteis/visuais</w:t>
            </w:r>
            <w:r>
              <w:t xml:space="preserve"> a serem desenvolvidas pelos participantes.</w:t>
            </w:r>
          </w:p>
          <w:p w14:paraId="0E1F9446" w14:textId="45A779C5" w:rsidR="003329CB" w:rsidRPr="001D3F59" w:rsidRDefault="00FB66E8" w:rsidP="00DE6DF5">
            <w:pPr>
              <w:ind w:left="270" w:hanging="270"/>
            </w:pPr>
            <w:r>
              <w:t>4.</w:t>
            </w:r>
            <w:r>
              <w:tab/>
            </w:r>
            <w:r>
              <w:rPr>
                <w:b/>
                <w:bCs/>
              </w:rPr>
              <w:t>Um pequeno vídeo</w:t>
            </w:r>
            <w:r>
              <w:t xml:space="preserve"> </w:t>
            </w:r>
            <w:r>
              <w:rPr>
                <w:b/>
                <w:bCs/>
              </w:rPr>
              <w:t>com um simples exercício de avaliação</w:t>
            </w:r>
            <w:r>
              <w:t xml:space="preserve"> retrata vários elementos de um programa WASH implementado no Uganda. Os participantes devem assistir ao vídeo, avaliar o que viram e ouviram e</w:t>
            </w:r>
            <w:r w:rsidR="00802544">
              <w:t>,</w:t>
            </w:r>
            <w:r>
              <w:t xml:space="preserve"> </w:t>
            </w:r>
            <w:r w:rsidR="00802544">
              <w:t xml:space="preserve">posteriormente, </w:t>
            </w:r>
            <w:r>
              <w:t>devem conceber um plano de avaliação simplificado para a informação de que ainda necessitam.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6F56F" w14:textId="77777777" w:rsidR="008754A2" w:rsidRPr="001D3F59" w:rsidRDefault="008754A2" w:rsidP="007217EB"/>
          <w:p w14:paraId="2D811200" w14:textId="42675865" w:rsidR="007217EB" w:rsidRPr="00866A41" w:rsidRDefault="007217EB" w:rsidP="007217EB">
            <w:r>
              <w:rPr>
                <w:noProof/>
              </w:rPr>
              <w:drawing>
                <wp:inline distT="0" distB="0" distL="0" distR="0" wp14:anchorId="082D8F3D" wp14:editId="036ECA54">
                  <wp:extent cx="1704975" cy="2219325"/>
                  <wp:effectExtent l="0" t="0" r="9525" b="9525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54E7C944" w14:textId="77777777" w:rsidR="00EE4870" w:rsidRPr="00866A41" w:rsidRDefault="00EE4870" w:rsidP="007217EB">
            <w:pPr>
              <w:rPr>
                <w:lang w:val="en-GB"/>
              </w:rPr>
            </w:pPr>
          </w:p>
          <w:p w14:paraId="6C87EB16" w14:textId="62CC75DC" w:rsidR="00D6040B" w:rsidRPr="00866A41" w:rsidRDefault="00D6040B" w:rsidP="007217EB">
            <w:r>
              <w:t xml:space="preserve">Esta sessão inclui um rápido estudo de caso centrado na fase de </w:t>
            </w:r>
            <w:r>
              <w:rPr>
                <w:b/>
                <w:bCs/>
              </w:rPr>
              <w:t>avaliação</w:t>
            </w:r>
            <w:r>
              <w:t xml:space="preserve"> do ciclo do programa humanitário.</w:t>
            </w:r>
          </w:p>
        </w:tc>
      </w:tr>
      <w:tr w:rsidR="007217EB" w:rsidRPr="00866A41" w14:paraId="38B54FFD" w14:textId="77777777" w:rsidTr="00C72BB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73B7F0CB" w:rsidR="007217EB" w:rsidRPr="00866A41" w:rsidRDefault="007217EB" w:rsidP="007217EB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24678658" w:rsidR="007217EB" w:rsidRPr="00866A41" w:rsidRDefault="007217EB" w:rsidP="007217EB">
            <w:pPr>
              <w:ind w:left="71"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2C5E1F29" w14:textId="5CE21A21" w:rsidR="0013005D" w:rsidRPr="0013005D" w:rsidRDefault="0013005D" w:rsidP="0013005D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Explicar o objetivo principal e </w:t>
            </w:r>
            <w:r w:rsidR="00802544">
              <w:t xml:space="preserve">os </w:t>
            </w:r>
            <w:r>
              <w:t>três conceitos essenciais subjacentes à programação WASH</w:t>
            </w:r>
          </w:p>
          <w:p w14:paraId="31DE38BE" w14:textId="0F4F4510" w:rsidR="0013005D" w:rsidRPr="0013005D" w:rsidRDefault="0013005D" w:rsidP="0013005D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Identificar as principais vias de transmissão de agentes patogénicos infecciosos e </w:t>
            </w:r>
            <w:r w:rsidR="00802544">
              <w:t xml:space="preserve">as </w:t>
            </w:r>
            <w:r>
              <w:t>barreiras para quebrar as cadeias de transmissão</w:t>
            </w:r>
          </w:p>
          <w:p w14:paraId="3533AA7D" w14:textId="77777777" w:rsidR="0013005D" w:rsidRPr="0013005D" w:rsidRDefault="0013005D" w:rsidP="0013005D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Utilizar alguns dos indicadores numéricos técnicos com maior confiança e compreensão</w:t>
            </w:r>
          </w:p>
          <w:p w14:paraId="70A4E230" w14:textId="30739C80" w:rsidR="007217EB" w:rsidRDefault="0013005D" w:rsidP="0013005D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Relacionar os aspetos técnicos quantitativos da Esfera com os seus aspetos fundamentais baseados </w:t>
            </w:r>
            <w:r w:rsidR="00802544">
              <w:t>em</w:t>
            </w:r>
            <w:r>
              <w:t xml:space="preserve"> direitos</w:t>
            </w:r>
          </w:p>
          <w:p w14:paraId="3378B49A" w14:textId="2227EC67" w:rsidR="001D3ACA" w:rsidRPr="001D3F59" w:rsidRDefault="001D3ACA" w:rsidP="001D3ACA">
            <w:pPr>
              <w:ind w:right="183"/>
            </w:pPr>
          </w:p>
        </w:tc>
      </w:tr>
      <w:tr w:rsidR="007217EB" w:rsidRPr="00866A41" w14:paraId="2150EE1C" w14:textId="77777777" w:rsidTr="00C72BB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14014891" w:rsidR="007217EB" w:rsidRPr="00866A41" w:rsidRDefault="007217EB" w:rsidP="007217EB">
            <w:pPr>
              <w:rPr>
                <w:b/>
              </w:rPr>
            </w:pPr>
            <w:r>
              <w:rPr>
                <w:b/>
              </w:rPr>
              <w:lastRenderedPageBreak/>
              <w:t>Mensagens-chave</w:t>
            </w:r>
          </w:p>
          <w:p w14:paraId="3453E2B8" w14:textId="5F4CB887" w:rsidR="007217EB" w:rsidRPr="00866A41" w:rsidRDefault="007217EB" w:rsidP="007217EB">
            <w:r>
              <w:t>Há quatro mensagens-chave da sessão que deve</w:t>
            </w:r>
            <w:r w:rsidR="00802544">
              <w:t>rá</w:t>
            </w:r>
            <w:r>
              <w:t xml:space="preserve"> destacar. O objetivo é que os participantes sejam capazes de </w:t>
            </w:r>
            <w:r w:rsidR="00744E55">
              <w:t xml:space="preserve">interiorizar </w:t>
            </w:r>
            <w:r>
              <w:t>e reafirmar estas mensagens-chave com os colegas após a formação.</w:t>
            </w:r>
          </w:p>
          <w:p w14:paraId="54BFFC35" w14:textId="77777777" w:rsidR="0013005D" w:rsidRPr="0013005D" w:rsidRDefault="0013005D" w:rsidP="0013005D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O principal objetivo dos programas WASH na resposta humanitária é reduzir os riscos para a saúde pública através da criação de barreiras ao longo das vias de transmissão.</w:t>
            </w:r>
          </w:p>
          <w:p w14:paraId="643B6973" w14:textId="77777777" w:rsidR="0013005D" w:rsidRPr="0013005D" w:rsidRDefault="0013005D" w:rsidP="0013005D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O envolvimento da comunidade está no centro de toda a programação WASH.</w:t>
            </w:r>
          </w:p>
          <w:p w14:paraId="564945B4" w14:textId="2EEFEEC3" w:rsidR="0013005D" w:rsidRPr="0013005D" w:rsidRDefault="0013005D" w:rsidP="0013005D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A programação WASH não diz apenas respeito à lavagem das mãos e à quantidade e qualidade da água.</w:t>
            </w:r>
          </w:p>
          <w:p w14:paraId="3944D94B" w14:textId="395E6C08" w:rsidR="003329CB" w:rsidRPr="00DE6DF5" w:rsidRDefault="0013005D" w:rsidP="00D62F8F">
            <w:pPr>
              <w:pStyle w:val="ListParagraph"/>
              <w:numPr>
                <w:ilvl w:val="0"/>
                <w:numId w:val="8"/>
              </w:numPr>
              <w:ind w:right="183"/>
              <w:rPr>
                <w:rFonts w:eastAsia="Open Sans Regular" w:cs="Calibri"/>
                <w:position w:val="1"/>
              </w:rPr>
            </w:pPr>
            <w:r>
              <w:t>A monitorização e avaliação são componentes essenciais de qualquer programa WASH.</w:t>
            </w:r>
          </w:p>
        </w:tc>
      </w:tr>
      <w:tr w:rsidR="00FF45EA" w:rsidRPr="00866A41" w14:paraId="36E718FB" w14:textId="77777777" w:rsidTr="004543A7">
        <w:trPr>
          <w:trHeight w:val="350"/>
        </w:trPr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C46" w14:textId="5242BBD8" w:rsidR="00FF45EA" w:rsidRPr="00866A41" w:rsidRDefault="00FF45EA" w:rsidP="004543A7">
            <w:pPr>
              <w:spacing w:line="240" w:lineRule="auto"/>
              <w:rPr>
                <w:b/>
              </w:rPr>
            </w:pPr>
            <w:r>
              <w:rPr>
                <w:b/>
              </w:rPr>
              <w:t>Plano de sessão conciso (esta é uma sessão rápida)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0A" w14:textId="77777777" w:rsidR="00FF45EA" w:rsidRPr="00866A41" w:rsidRDefault="00FF45EA" w:rsidP="004543A7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FF45EA" w:rsidRPr="00866A41" w14:paraId="1FFB11B0" w14:textId="77777777" w:rsidTr="004543A7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08F" w14:textId="751B5926" w:rsidR="00FF45EA" w:rsidRPr="00866A41" w:rsidRDefault="00FF45EA" w:rsidP="004543A7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Introdução e objetivos de aprendizagem – apresentação (diapositivos 1 e 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03D0" w14:textId="39D98E87" w:rsidR="00FF45EA" w:rsidRPr="00866A41" w:rsidRDefault="005E3D8C" w:rsidP="004543A7">
            <w:r>
              <w:t>3 min</w:t>
            </w:r>
          </w:p>
        </w:tc>
      </w:tr>
      <w:tr w:rsidR="00346CC2" w:rsidRPr="00866A41" w14:paraId="471B0E28" w14:textId="77777777" w:rsidTr="004543A7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113C" w14:textId="46F6BB96" w:rsidR="00346CC2" w:rsidRPr="00866A41" w:rsidRDefault="00DC018E" w:rsidP="004543A7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 xml:space="preserve">Objetivos e resumo da programação WASH - </w:t>
            </w:r>
            <w:r>
              <w:t xml:space="preserve">apresentação </w:t>
            </w:r>
            <w:r w:rsidR="00744E55">
              <w:t xml:space="preserve">em </w:t>
            </w:r>
            <w:r>
              <w:t>PowerPoint</w:t>
            </w:r>
            <w:r>
              <w:rPr>
                <w:b/>
              </w:rPr>
              <w:t xml:space="preserve"> </w:t>
            </w:r>
            <w:r>
              <w:t>com atividade em pequenos</w:t>
            </w:r>
            <w:r>
              <w:rPr>
                <w:b/>
              </w:rPr>
              <w:t xml:space="preserve"> </w:t>
            </w:r>
            <w:r>
              <w:t>grupos (3–12)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19EA" w14:textId="6A3D911B" w:rsidR="00346CC2" w:rsidRPr="00866A41" w:rsidRDefault="00470F0F" w:rsidP="004543A7">
            <w:r>
              <w:t>27 min</w:t>
            </w:r>
          </w:p>
        </w:tc>
      </w:tr>
      <w:tr w:rsidR="00FF45EA" w:rsidRPr="00866A41" w14:paraId="098974C5" w14:textId="77777777" w:rsidTr="004543A7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5F94" w14:textId="57422F34" w:rsidR="00FF45EA" w:rsidRPr="00866A41" w:rsidRDefault="00193FCC" w:rsidP="004543A7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 xml:space="preserve">Normas e indicadores </w:t>
            </w:r>
            <w:r w:rsidR="00DE6DF5">
              <w:rPr>
                <w:b/>
              </w:rPr>
              <w:t xml:space="preserve">da </w:t>
            </w:r>
            <w:r w:rsidR="00DE6DF5" w:rsidRPr="00DE6DF5">
              <w:rPr>
                <w:b/>
              </w:rPr>
              <w:t xml:space="preserve">Esfera no </w:t>
            </w:r>
            <w:r w:rsidRPr="00DE6DF5">
              <w:rPr>
                <w:b/>
              </w:rPr>
              <w:t>WASH</w:t>
            </w:r>
            <w:r>
              <w:t xml:space="preserve"> – Apresentação em PowerPoint e demonstrações tácteis/visuais rápidas (13–20)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BE61" w14:textId="2420DFD0" w:rsidR="00FF45EA" w:rsidRPr="00866A41" w:rsidRDefault="00193FCC" w:rsidP="004543A7">
            <w:r>
              <w:t>20 min</w:t>
            </w:r>
          </w:p>
        </w:tc>
      </w:tr>
      <w:tr w:rsidR="00FF45EA" w:rsidRPr="00866A41" w14:paraId="66A8FEEB" w14:textId="77777777" w:rsidTr="004543A7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F156" w14:textId="0E34AB87" w:rsidR="00FF45EA" w:rsidRPr="00866A41" w:rsidRDefault="00193FCC" w:rsidP="004543A7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 xml:space="preserve">Estudo de caso baseado </w:t>
            </w:r>
            <w:r w:rsidR="00DE6DF5">
              <w:rPr>
                <w:b/>
              </w:rPr>
              <w:t>num</w:t>
            </w:r>
            <w:r>
              <w:rPr>
                <w:b/>
              </w:rPr>
              <w:t xml:space="preserve"> vídeo – exercício de avaliação WASH</w:t>
            </w:r>
            <w:r>
              <w:t xml:space="preserve"> (21–24)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5434" w14:textId="58B4BFE3" w:rsidR="00FF45EA" w:rsidRPr="00866A41" w:rsidRDefault="00193FCC" w:rsidP="004543A7">
            <w:r>
              <w:t>35 min</w:t>
            </w:r>
          </w:p>
        </w:tc>
      </w:tr>
      <w:tr w:rsidR="00FF45EA" w:rsidRPr="00866A41" w14:paraId="25174E30" w14:textId="77777777" w:rsidTr="004543A7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67C4" w14:textId="2C43E5A4" w:rsidR="00FF45EA" w:rsidRPr="00866A41" w:rsidRDefault="00193FCC" w:rsidP="004543A7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t>Resumo e conclusão (25 e 26)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C7B6" w14:textId="1ACCA2BE" w:rsidR="00FF45EA" w:rsidRPr="00866A41" w:rsidRDefault="00193FCC" w:rsidP="004543A7">
            <w:r>
              <w:t>5 min</w:t>
            </w:r>
          </w:p>
        </w:tc>
      </w:tr>
      <w:tr w:rsidR="00FF45EA" w:rsidRPr="00866A41" w14:paraId="69D17258" w14:textId="77777777" w:rsidTr="004543A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C57" w14:textId="50C68534" w:rsidR="00FF45EA" w:rsidRPr="00866A41" w:rsidRDefault="00FF45EA" w:rsidP="004543A7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 xml:space="preserve">Outros ficheiros e preparativos de que </w:t>
            </w:r>
            <w:r w:rsidR="00DE6DF5">
              <w:rPr>
                <w:b/>
              </w:rPr>
              <w:t xml:space="preserve">irá </w:t>
            </w:r>
            <w:r>
              <w:rPr>
                <w:b/>
              </w:rPr>
              <w:t>necessitar</w:t>
            </w:r>
          </w:p>
          <w:p w14:paraId="75B0555E" w14:textId="77777777" w:rsidR="00ED4765" w:rsidRPr="001D3F59" w:rsidRDefault="00ED4765" w:rsidP="004543A7">
            <w:pPr>
              <w:rPr>
                <w:b/>
              </w:rPr>
            </w:pPr>
          </w:p>
          <w:p w14:paraId="0E61A8AD" w14:textId="5BC88873" w:rsidR="00FF45EA" w:rsidRPr="00866A41" w:rsidRDefault="00ED4765" w:rsidP="004543A7">
            <w:pPr>
              <w:rPr>
                <w:b/>
              </w:rPr>
            </w:pPr>
            <w:r>
              <w:rPr>
                <w:b/>
              </w:rPr>
              <w:t xml:space="preserve">Ficheiros: </w:t>
            </w:r>
            <w:r>
              <w:t>Existem documentos elaborad</w:t>
            </w:r>
            <w:r w:rsidR="00DE6DF5">
              <w:t>o</w:t>
            </w:r>
            <w:r>
              <w:t xml:space="preserve">s para esta sessão que facilitarão a logística da sua sessão se forem impressos e preparados </w:t>
            </w:r>
            <w:r w:rsidR="001D3F59">
              <w:t xml:space="preserve">previamente </w:t>
            </w:r>
            <w:r>
              <w:t>para distribuição</w:t>
            </w:r>
            <w:r w:rsidR="001D3F59">
              <w:t>.</w:t>
            </w:r>
          </w:p>
          <w:p w14:paraId="5390A447" w14:textId="77777777" w:rsidR="00FF45EA" w:rsidRPr="001D3F59" w:rsidRDefault="00FF45EA" w:rsidP="004543A7">
            <w:pPr>
              <w:rPr>
                <w:b/>
              </w:rPr>
            </w:pPr>
          </w:p>
          <w:p w14:paraId="47DB07D1" w14:textId="02874116" w:rsidR="00171611" w:rsidRPr="00866A41" w:rsidRDefault="00171611" w:rsidP="00171611">
            <w:r>
              <w:t xml:space="preserve">O exercício em pequenos grupos requer a impressão de uma </w:t>
            </w:r>
            <w:r>
              <w:rPr>
                <w:b/>
              </w:rPr>
              <w:t xml:space="preserve">folha por </w:t>
            </w:r>
            <w:r w:rsidRPr="0027138C">
              <w:rPr>
                <w:b/>
              </w:rPr>
              <w:t>mesa/pequeno grupo</w:t>
            </w:r>
            <w:r w:rsidR="00744E55">
              <w:rPr>
                <w:b/>
              </w:rPr>
              <w:t>,</w:t>
            </w:r>
            <w:r w:rsidRPr="0027138C">
              <w:rPr>
                <w:b/>
              </w:rPr>
              <w:t xml:space="preserve"> </w:t>
            </w:r>
            <w:r w:rsidRPr="0027138C">
              <w:t>de cada</w:t>
            </w:r>
            <w:r w:rsidRPr="0027138C">
              <w:rPr>
                <w:b/>
              </w:rPr>
              <w:t xml:space="preserve"> </w:t>
            </w:r>
            <w:r w:rsidRPr="0027138C">
              <w:t>um dos seguintes documentos:</w:t>
            </w:r>
            <w:r w:rsidRPr="0027138C">
              <w:rPr>
                <w:b/>
              </w:rPr>
              <w:t xml:space="preserve"> STP 7 </w:t>
            </w:r>
            <w:r w:rsidR="000169D3">
              <w:rPr>
                <w:b/>
              </w:rPr>
              <w:t>WASH Activity.docx (</w:t>
            </w:r>
            <w:r w:rsidRPr="0027138C">
              <w:rPr>
                <w:b/>
              </w:rPr>
              <w:t>Atividade WASH</w:t>
            </w:r>
            <w:r w:rsidR="000169D3">
              <w:rPr>
                <w:b/>
              </w:rPr>
              <w:t>)</w:t>
            </w:r>
            <w:r w:rsidRPr="0027138C">
              <w:rPr>
                <w:b/>
              </w:rPr>
              <w:t xml:space="preserve"> </w:t>
            </w:r>
            <w:r w:rsidRPr="0027138C">
              <w:t>e</w:t>
            </w:r>
            <w:r w:rsidRPr="0027138C">
              <w:rPr>
                <w:b/>
              </w:rPr>
              <w:t xml:space="preserve"> STP 7 </w:t>
            </w:r>
            <w:r w:rsidR="000169D3">
              <w:rPr>
                <w:b/>
              </w:rPr>
              <w:t>WASH F Markers.docx. (</w:t>
            </w:r>
            <w:r w:rsidRPr="0027138C">
              <w:rPr>
                <w:b/>
              </w:rPr>
              <w:t>Marcadores F WASH</w:t>
            </w:r>
            <w:r w:rsidR="000169D3">
              <w:rPr>
                <w:b/>
              </w:rPr>
              <w:t>)</w:t>
            </w:r>
            <w:r w:rsidRPr="0027138C">
              <w:t>. As peças do jogo devem ser recortadas antes da sessão e colocadas</w:t>
            </w:r>
            <w:r>
              <w:t xml:space="preserve"> num envelope (um envelope </w:t>
            </w:r>
            <w:r>
              <w:rPr>
                <w:b/>
                <w:bCs/>
              </w:rPr>
              <w:t>por mesa/pequeno grupo</w:t>
            </w:r>
            <w:r>
              <w:t>).</w:t>
            </w:r>
            <w:r>
              <w:rPr>
                <w:b/>
              </w:rPr>
              <w:t xml:space="preserve"> </w:t>
            </w:r>
            <w:r>
              <w:t>Cada mesa/pequeno grupo precisará também de um flip</w:t>
            </w:r>
            <w:r w:rsidR="0027138C">
              <w:t xml:space="preserve"> </w:t>
            </w:r>
            <w:r>
              <w:t>chart, marcadores e fita cola.</w:t>
            </w:r>
          </w:p>
          <w:p w14:paraId="6514D214" w14:textId="77777777" w:rsidR="008E4AEF" w:rsidRPr="001D3F59" w:rsidRDefault="008E4AEF" w:rsidP="008E4AEF"/>
          <w:p w14:paraId="7C52B304" w14:textId="77777777" w:rsidR="00ED4765" w:rsidRPr="00866A41" w:rsidRDefault="002B5158" w:rsidP="008E4AEF">
            <w:r>
              <w:rPr>
                <w:b/>
              </w:rPr>
              <w:t>Para as atividades táteis/visuais</w:t>
            </w:r>
            <w:r>
              <w:t xml:space="preserve"> será necessário:</w:t>
            </w:r>
          </w:p>
          <w:p w14:paraId="2B32C6BE" w14:textId="0F10CD4B" w:rsidR="00ED4765" w:rsidRPr="00866A41" w:rsidRDefault="002143EF" w:rsidP="002143EF">
            <w:pPr>
              <w:pStyle w:val="ListParagraph"/>
              <w:numPr>
                <w:ilvl w:val="0"/>
                <w:numId w:val="22"/>
              </w:numPr>
            </w:pPr>
            <w:r>
              <w:t>pelo menos um bidão contendo 15 litros de água (dois a quatro são ideais para grupos de formação maiores)</w:t>
            </w:r>
          </w:p>
          <w:p w14:paraId="3528BC7B" w14:textId="3D4B8090" w:rsidR="002143EF" w:rsidRPr="00866A41" w:rsidRDefault="0013005D" w:rsidP="002143EF">
            <w:pPr>
              <w:pStyle w:val="ListParagraph"/>
              <w:numPr>
                <w:ilvl w:val="0"/>
                <w:numId w:val="22"/>
              </w:numPr>
            </w:pPr>
            <w:r>
              <w:t xml:space="preserve">um bidão de demonstração adicional de 10 e </w:t>
            </w:r>
            <w:r w:rsidR="0027138C">
              <w:t xml:space="preserve">outro de </w:t>
            </w:r>
            <w:r>
              <w:t>20 litros</w:t>
            </w:r>
          </w:p>
          <w:p w14:paraId="7F451362" w14:textId="3AAAB332" w:rsidR="002143EF" w:rsidRPr="00866A41" w:rsidRDefault="0013005D" w:rsidP="002143EF">
            <w:pPr>
              <w:pStyle w:val="ListParagraph"/>
              <w:numPr>
                <w:ilvl w:val="0"/>
                <w:numId w:val="22"/>
              </w:numPr>
            </w:pPr>
            <w:r>
              <w:t>um ou dois baldes de 10-15 litros de capacidade (com ou sem tampas)</w:t>
            </w:r>
          </w:p>
          <w:p w14:paraId="6A77329F" w14:textId="56E807DE" w:rsidR="002143EF" w:rsidRPr="00866A41" w:rsidRDefault="002143EF" w:rsidP="002143EF">
            <w:pPr>
              <w:pStyle w:val="ListParagraph"/>
              <w:numPr>
                <w:ilvl w:val="0"/>
                <w:numId w:val="22"/>
              </w:numPr>
            </w:pPr>
            <w:r>
              <w:t>fita métrica de 30 metros</w:t>
            </w:r>
          </w:p>
          <w:p w14:paraId="190806EA" w14:textId="41A94D8C" w:rsidR="002143EF" w:rsidRPr="00866A41" w:rsidRDefault="0013005D" w:rsidP="002143EF">
            <w:pPr>
              <w:pStyle w:val="ListParagraph"/>
              <w:numPr>
                <w:ilvl w:val="0"/>
                <w:numId w:val="22"/>
              </w:numPr>
            </w:pPr>
            <w:r>
              <w:t>quatro garrafas de plástico transparente de 1 litro de água</w:t>
            </w:r>
          </w:p>
          <w:p w14:paraId="27B57505" w14:textId="1710B92C" w:rsidR="002143EF" w:rsidRPr="00866A41" w:rsidRDefault="0013005D" w:rsidP="002143EF">
            <w:pPr>
              <w:pStyle w:val="ListParagraph"/>
              <w:numPr>
                <w:ilvl w:val="0"/>
                <w:numId w:val="22"/>
              </w:numPr>
            </w:pPr>
            <w:r>
              <w:t>uma pequena quantidade de terra para misturar nas garrafas</w:t>
            </w:r>
          </w:p>
          <w:p w14:paraId="7B57DDE0" w14:textId="58BC1E44" w:rsidR="002143EF" w:rsidRPr="00866A41" w:rsidRDefault="002143EF" w:rsidP="002143EF">
            <w:pPr>
              <w:pStyle w:val="ListParagraph"/>
              <w:numPr>
                <w:ilvl w:val="0"/>
                <w:numId w:val="22"/>
              </w:numPr>
            </w:pPr>
            <w:r>
              <w:t>250 g de sabão em barra</w:t>
            </w:r>
          </w:p>
          <w:p w14:paraId="30C0A6F2" w14:textId="29A7BDCB" w:rsidR="003E0FFC" w:rsidRPr="00866A41" w:rsidRDefault="003E0FFC" w:rsidP="00AA3F51">
            <w:pPr>
              <w:rPr>
                <w:lang w:val="en-GB"/>
              </w:rPr>
            </w:pPr>
          </w:p>
        </w:tc>
      </w:tr>
      <w:tr w:rsidR="00FF45EA" w:rsidRPr="00866A41" w14:paraId="3334DB3A" w14:textId="77777777" w:rsidTr="004543A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F7ED" w14:textId="77777777" w:rsidR="00744E55" w:rsidRDefault="00744E55" w:rsidP="00744E55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0BF63F74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00ECFE77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</w:t>
            </w:r>
            <w:r>
              <w:lastRenderedPageBreak/>
              <w:t xml:space="preserve">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1EEACCFC" w14:textId="77777777" w:rsidR="00744E55" w:rsidRDefault="00744E55" w:rsidP="00744E55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de os participantes realizarem uma atividade ou executarem uma competência. O ensino é mais eficaz através da prática, da aplicação direta e da repetição.</w:t>
            </w:r>
          </w:p>
          <w:p w14:paraId="30C6AA67" w14:textId="77777777" w:rsidR="00744E55" w:rsidRDefault="00744E55" w:rsidP="00744E55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explicarem os conteúdos a outra pessoa.</w:t>
            </w:r>
          </w:p>
          <w:p w14:paraId="50840201" w14:textId="77777777" w:rsidR="00744E55" w:rsidRDefault="00744E55" w:rsidP="00744E55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incentivar, convencer e provocar, na medida do possível, a adesão do grupo.</w:t>
            </w:r>
          </w:p>
          <w:p w14:paraId="734DB49E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0717083D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19A3C2EF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ficarão muito mais interessados e aprenderão mais fazendo, do que apenas ouvindo instruções de como proceder.</w:t>
            </w:r>
          </w:p>
          <w:p w14:paraId="3A7A1C32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Decida como irá partilhar as responsabilidades se tiver um co-formador.</w:t>
            </w:r>
          </w:p>
          <w:p w14:paraId="79988E0A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6C8E1AB4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Tenha um plano B (e C) para superar desafios inesperados (falha de energia, maior ou menor número de participantes do que o planeado, mudanças de sala de última hora, etc.)</w:t>
            </w:r>
          </w:p>
          <w:p w14:paraId="22A35C03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reunião de balanço necessários. Seis grupos de quatro pessoas com cada pessoa a falar durante 2 minutos = 48 minutos, se todos falarem! Demoraria 24 minutos se um representante falasse por cada grupo durante 4 minutos.</w:t>
            </w:r>
          </w:p>
          <w:p w14:paraId="700D92DD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53C815D4" w14:textId="77777777" w:rsidR="00744E55" w:rsidRPr="00DA42E4" w:rsidRDefault="00744E55" w:rsidP="00744E55">
            <w:pPr>
              <w:rPr>
                <w:b/>
              </w:rPr>
            </w:pPr>
          </w:p>
          <w:p w14:paraId="3DFA556F" w14:textId="77777777" w:rsidR="00744E55" w:rsidRDefault="00744E55" w:rsidP="00744E55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47AC60FC" w14:textId="77777777" w:rsidR="00744E55" w:rsidRDefault="00744E55" w:rsidP="00744E55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3B117F56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1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294ECD47" w14:textId="77777777" w:rsidR="00744E55" w:rsidRDefault="00744E55" w:rsidP="00744E55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2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4F25D7C3" w14:textId="77777777" w:rsidR="00744E55" w:rsidRPr="00DA42E4" w:rsidRDefault="00744E55" w:rsidP="00744E55">
            <w:pPr>
              <w:spacing w:line="252" w:lineRule="auto"/>
              <w:rPr>
                <w:bCs/>
              </w:rPr>
            </w:pPr>
          </w:p>
          <w:p w14:paraId="79D32BCD" w14:textId="77777777" w:rsidR="00744E55" w:rsidRDefault="00744E55" w:rsidP="00744E55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3544611E" w14:textId="77777777" w:rsidR="00744E55" w:rsidRDefault="00744E55" w:rsidP="00744E55">
            <w:pPr>
              <w:pStyle w:val="ListParagraph"/>
              <w:numPr>
                <w:ilvl w:val="0"/>
                <w:numId w:val="24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>STP 20 Evaluation Form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>
                <w:rPr>
                  <w:rStyle w:val="Hyperlink"/>
                </w:rPr>
                <w:t>https://www.surveymonkey.com/r/spheretesten</w:t>
              </w:r>
            </w:hyperlink>
            <w:r>
              <w:t xml:space="preserve">. Contacte </w:t>
            </w:r>
            <w:hyperlink r:id="rId14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 para solicitar uma forma única de recolha de respostas a inquéritos (SurveyMonkey designa-o como “coletor”) ou uma versão personalizada para o seu evento.</w:t>
            </w:r>
          </w:p>
          <w:p w14:paraId="1B4E894D" w14:textId="77777777" w:rsidR="00744E55" w:rsidRPr="00DA42E4" w:rsidRDefault="00744E55" w:rsidP="00744E55">
            <w:pPr>
              <w:spacing w:line="252" w:lineRule="auto"/>
              <w:rPr>
                <w:bCs/>
              </w:rPr>
            </w:pPr>
          </w:p>
          <w:p w14:paraId="2EF61ACD" w14:textId="77777777" w:rsidR="00744E55" w:rsidRDefault="00744E55" w:rsidP="00744E55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69F8F6B0" w14:textId="77777777" w:rsidR="00FF45EA" w:rsidRDefault="00744E55" w:rsidP="00744E55"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201144">
              <w:rPr>
                <w:b/>
                <w:bCs/>
              </w:rPr>
              <w:t>Training event report template</w:t>
            </w:r>
            <w:r>
              <w:rPr>
                <w:b/>
                <w:bCs/>
              </w:rPr>
              <w:t>.docx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providenciar.</w:t>
            </w:r>
          </w:p>
          <w:p w14:paraId="3EA3F683" w14:textId="2CE50B8D" w:rsidR="00744E55" w:rsidRPr="001D3F59" w:rsidRDefault="00744E55" w:rsidP="00744E55">
            <w:pPr>
              <w:rPr>
                <w:b/>
              </w:rPr>
            </w:pPr>
          </w:p>
        </w:tc>
      </w:tr>
      <w:tr w:rsidR="00FF45EA" w:rsidRPr="00866A41" w14:paraId="44BDA7B2" w14:textId="77777777" w:rsidTr="004543A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A875" w14:textId="7D0F8ADA" w:rsidR="00E079AD" w:rsidRDefault="00E079AD" w:rsidP="00E079AD">
            <w:pPr>
              <w:rPr>
                <w:b/>
              </w:rPr>
            </w:pPr>
            <w:r w:rsidRPr="00192A3B">
              <w:rPr>
                <w:b/>
                <w:bCs/>
              </w:rPr>
              <w:lastRenderedPageBreak/>
              <w:t>Sugestões</w:t>
            </w:r>
            <w:r>
              <w:rPr>
                <w:b/>
              </w:rPr>
              <w:t xml:space="preserve"> para alteração local</w:t>
            </w:r>
          </w:p>
          <w:p w14:paraId="584ED7E3" w14:textId="77777777" w:rsidR="00E079AD" w:rsidRPr="0031306E" w:rsidRDefault="00E079AD" w:rsidP="00E079AD">
            <w:pPr>
              <w:rPr>
                <w:b/>
              </w:rPr>
            </w:pPr>
          </w:p>
          <w:p w14:paraId="7A52397D" w14:textId="148FF5A6" w:rsidR="00E079AD" w:rsidRDefault="00E079AD" w:rsidP="00E079AD">
            <w:pPr>
              <w:pStyle w:val="ListParagraph"/>
              <w:numPr>
                <w:ilvl w:val="0"/>
                <w:numId w:val="18"/>
              </w:numPr>
            </w:pPr>
            <w:r>
              <w:t>Se não tiver acesso a eletricidade ou a equipamento para apresentar diapositivos em PowerPoint, imprima os diapositivos em papel A3 com antecedência e realize a sessão como um evento ao vivo.</w:t>
            </w:r>
          </w:p>
          <w:p w14:paraId="5CDB7F9F" w14:textId="1DC24B18" w:rsidR="00FF45EA" w:rsidRPr="00297DCB" w:rsidRDefault="00FF45EA" w:rsidP="00FF45EA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 xml:space="preserve">Se não conseguir reproduzir o vídeo incluído, não o apresente e pergunte se existem exemplos específicos de um programa WASH no país em que está a ministrar a formação. Peça aos que estão familiarizados com o programa que o apresentem como um micro-estudo de caso e depois peça a outros participantes </w:t>
            </w:r>
            <w:r w:rsidR="00E3604C">
              <w:t xml:space="preserve">que </w:t>
            </w:r>
            <w:r w:rsidR="00132F42">
              <w:t xml:space="preserve">elaborem </w:t>
            </w:r>
            <w:r>
              <w:t xml:space="preserve">uma lista de perguntas de avaliação prioritárias para qualquer informação </w:t>
            </w:r>
            <w:r w:rsidR="00132F42">
              <w:t xml:space="preserve">que esteja </w:t>
            </w:r>
            <w:r>
              <w:t>em falta no estudo de caso apresentado. Tenha em atenção que uma apresentação ao vivo demorará mais tempo do que o vídeo, pelo que terá de ajustar a duração da sessão em conformidade.</w:t>
            </w:r>
          </w:p>
          <w:p w14:paraId="15504D99" w14:textId="1C073DD3" w:rsidR="00297DCB" w:rsidRPr="001D3F59" w:rsidRDefault="00297DCB" w:rsidP="00297DCB">
            <w:pPr>
              <w:ind w:left="360"/>
              <w:rPr>
                <w:b/>
              </w:rPr>
            </w:pPr>
          </w:p>
        </w:tc>
      </w:tr>
    </w:tbl>
    <w:p w14:paraId="594D5E75" w14:textId="77777777" w:rsidR="00232CFB" w:rsidRPr="001D3F59" w:rsidRDefault="00232CFB" w:rsidP="00FF45EA"/>
    <w:p w14:paraId="2F4DC898" w14:textId="77777777" w:rsidR="004543A7" w:rsidRPr="001D3F59" w:rsidRDefault="004543A7" w:rsidP="00FF45EA"/>
    <w:sectPr w:rsidR="004543A7" w:rsidRPr="001D3F59" w:rsidSect="00C72BB7">
      <w:headerReference w:type="default" r:id="rId16"/>
      <w:footerReference w:type="default" r:id="rId1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A01D5" w14:textId="77777777" w:rsidR="005505DB" w:rsidRDefault="005505DB" w:rsidP="009F2306">
      <w:pPr>
        <w:spacing w:after="0" w:line="240" w:lineRule="auto"/>
      </w:pPr>
      <w:r>
        <w:separator/>
      </w:r>
    </w:p>
  </w:endnote>
  <w:endnote w:type="continuationSeparator" w:id="0">
    <w:p w14:paraId="7A1D6158" w14:textId="77777777" w:rsidR="005505DB" w:rsidRDefault="005505DB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674FBA" w:rsidRDefault="00674F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CBF">
          <w:t>4</w:t>
        </w:r>
        <w:r>
          <w:fldChar w:fldCharType="end"/>
        </w:r>
      </w:p>
    </w:sdtContent>
  </w:sdt>
  <w:p w14:paraId="2A6CFB20" w14:textId="77777777" w:rsidR="00674FBA" w:rsidRDefault="00674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C52C" w14:textId="77777777" w:rsidR="005505DB" w:rsidRDefault="005505DB" w:rsidP="009F2306">
      <w:pPr>
        <w:spacing w:after="0" w:line="240" w:lineRule="auto"/>
      </w:pPr>
      <w:r>
        <w:separator/>
      </w:r>
    </w:p>
  </w:footnote>
  <w:footnote w:type="continuationSeparator" w:id="0">
    <w:p w14:paraId="2692BE80" w14:textId="77777777" w:rsidR="005505DB" w:rsidRDefault="005505DB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0478B8AA" w:rsidR="00674FBA" w:rsidRPr="00744E55" w:rsidRDefault="00674FBA" w:rsidP="00297F18">
    <w:pPr>
      <w:pStyle w:val="Header"/>
      <w:pBdr>
        <w:bottom w:val="single" w:sz="4" w:space="1" w:color="auto"/>
      </w:pBdr>
      <w:jc w:val="right"/>
      <w:rPr>
        <w:sz w:val="19"/>
        <w:szCs w:val="19"/>
      </w:rPr>
    </w:pPr>
    <w:r>
      <w:rPr>
        <w:noProof/>
      </w:rPr>
      <w:drawing>
        <wp:anchor distT="0" distB="0" distL="114300" distR="114300" simplePos="0" relativeHeight="251698176" behindDoc="0" locked="0" layoutInCell="1" allowOverlap="1" wp14:anchorId="15273478" wp14:editId="727B6ABC">
          <wp:simplePos x="0" y="0"/>
          <wp:positionH relativeFrom="column">
            <wp:posOffset>-405765</wp:posOffset>
          </wp:positionH>
          <wp:positionV relativeFrom="paragraph">
            <wp:posOffset>-92075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744E55" w:rsidRPr="00744E55">
      <w:rPr>
        <w:sz w:val="19"/>
        <w:szCs w:val="19"/>
      </w:rPr>
      <w:t>Paco</w:t>
    </w:r>
    <w:r w:rsidR="00744E55" w:rsidRPr="00744E55">
      <w:rPr>
        <w:sz w:val="19"/>
        <w:szCs w:val="19"/>
      </w:rPr>
      <w:t xml:space="preserve">te de Formação </w:t>
    </w:r>
    <w:r w:rsidRPr="00744E55">
      <w:rPr>
        <w:sz w:val="19"/>
        <w:szCs w:val="19"/>
      </w:rPr>
      <w:t>Esfera 2018 – Sessão 7 – Abastecimento de água, saneamento e promoção da higiene</w:t>
    </w:r>
  </w:p>
  <w:p w14:paraId="04454F13" w14:textId="77777777" w:rsidR="00674FBA" w:rsidRPr="00744E55" w:rsidRDefault="00674FBA">
    <w:pPr>
      <w:pStyle w:val="Header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CEE"/>
    <w:multiLevelType w:val="hybridMultilevel"/>
    <w:tmpl w:val="14C65254"/>
    <w:lvl w:ilvl="0" w:tplc="B12A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6C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4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84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62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2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F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8C0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AE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8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A4C05"/>
    <w:multiLevelType w:val="hybridMultilevel"/>
    <w:tmpl w:val="54C45CA2"/>
    <w:lvl w:ilvl="0" w:tplc="12EA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27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CE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27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C9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63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D66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CF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04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BAA1DC0"/>
    <w:multiLevelType w:val="hybridMultilevel"/>
    <w:tmpl w:val="04AE0430"/>
    <w:lvl w:ilvl="0" w:tplc="108AE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45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F07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DC8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145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164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0AA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62E3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A66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D105634"/>
    <w:multiLevelType w:val="hybridMultilevel"/>
    <w:tmpl w:val="7BD88A3A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3" w15:restartNumberingAfterBreak="0">
    <w:nsid w:val="419375B1"/>
    <w:multiLevelType w:val="hybridMultilevel"/>
    <w:tmpl w:val="AB80CECE"/>
    <w:lvl w:ilvl="0" w:tplc="5FEC7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88B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7AE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E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1AC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059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5AE2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8EB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61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7D6B68"/>
    <w:multiLevelType w:val="hybridMultilevel"/>
    <w:tmpl w:val="97BEE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6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9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54B0641"/>
    <w:multiLevelType w:val="hybridMultilevel"/>
    <w:tmpl w:val="2858298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27A3F"/>
    <w:multiLevelType w:val="hybridMultilevel"/>
    <w:tmpl w:val="4A48FD5E"/>
    <w:lvl w:ilvl="0" w:tplc="869EB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4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4F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E2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E7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E4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6"/>
  </w:num>
  <w:num w:numId="6">
    <w:abstractNumId w:val="8"/>
  </w:num>
  <w:num w:numId="7">
    <w:abstractNumId w:val="5"/>
  </w:num>
  <w:num w:numId="8">
    <w:abstractNumId w:val="15"/>
  </w:num>
  <w:num w:numId="9">
    <w:abstractNumId w:val="21"/>
  </w:num>
  <w:num w:numId="10">
    <w:abstractNumId w:val="18"/>
  </w:num>
  <w:num w:numId="11">
    <w:abstractNumId w:val="19"/>
  </w:num>
  <w:num w:numId="12">
    <w:abstractNumId w:val="19"/>
  </w:num>
  <w:num w:numId="13">
    <w:abstractNumId w:val="3"/>
  </w:num>
  <w:num w:numId="14">
    <w:abstractNumId w:val="9"/>
  </w:num>
  <w:num w:numId="15">
    <w:abstractNumId w:val="7"/>
  </w:num>
  <w:num w:numId="16">
    <w:abstractNumId w:val="12"/>
  </w:num>
  <w:num w:numId="17">
    <w:abstractNumId w:val="22"/>
  </w:num>
  <w:num w:numId="18">
    <w:abstractNumId w:val="6"/>
  </w:num>
  <w:num w:numId="19">
    <w:abstractNumId w:val="0"/>
  </w:num>
  <w:num w:numId="20">
    <w:abstractNumId w:val="10"/>
  </w:num>
  <w:num w:numId="21">
    <w:abstractNumId w:val="13"/>
  </w:num>
  <w:num w:numId="22">
    <w:abstractNumId w:val="14"/>
  </w:num>
  <w:num w:numId="23">
    <w:abstractNumId w:val="11"/>
  </w:num>
  <w:num w:numId="24">
    <w:abstractNumId w:val="17"/>
  </w:num>
  <w:num w:numId="25">
    <w:abstractNumId w:val="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BB7"/>
    <w:rsid w:val="000169D3"/>
    <w:rsid w:val="00070156"/>
    <w:rsid w:val="000732A7"/>
    <w:rsid w:val="000A73A1"/>
    <w:rsid w:val="000B71BE"/>
    <w:rsid w:val="001011C2"/>
    <w:rsid w:val="0013005D"/>
    <w:rsid w:val="00132F42"/>
    <w:rsid w:val="00136435"/>
    <w:rsid w:val="001368CD"/>
    <w:rsid w:val="001374BF"/>
    <w:rsid w:val="00171611"/>
    <w:rsid w:val="001833BC"/>
    <w:rsid w:val="00193FCC"/>
    <w:rsid w:val="001C3CBF"/>
    <w:rsid w:val="001C4533"/>
    <w:rsid w:val="001C6EBD"/>
    <w:rsid w:val="001D3ACA"/>
    <w:rsid w:val="001D3F59"/>
    <w:rsid w:val="001F1C63"/>
    <w:rsid w:val="002143EF"/>
    <w:rsid w:val="00227B4F"/>
    <w:rsid w:val="00232CFB"/>
    <w:rsid w:val="00244E9D"/>
    <w:rsid w:val="0026204F"/>
    <w:rsid w:val="00265A9F"/>
    <w:rsid w:val="0027138C"/>
    <w:rsid w:val="00297DCB"/>
    <w:rsid w:val="00297F18"/>
    <w:rsid w:val="002A5469"/>
    <w:rsid w:val="002B21A7"/>
    <w:rsid w:val="002B5158"/>
    <w:rsid w:val="002D60F0"/>
    <w:rsid w:val="002F12DB"/>
    <w:rsid w:val="002F1DDC"/>
    <w:rsid w:val="002F35D8"/>
    <w:rsid w:val="00301624"/>
    <w:rsid w:val="00306616"/>
    <w:rsid w:val="00330290"/>
    <w:rsid w:val="003329CB"/>
    <w:rsid w:val="00346CC2"/>
    <w:rsid w:val="00375A6D"/>
    <w:rsid w:val="003C40EB"/>
    <w:rsid w:val="003D59A3"/>
    <w:rsid w:val="003E0FFC"/>
    <w:rsid w:val="003E6061"/>
    <w:rsid w:val="004050AA"/>
    <w:rsid w:val="00412189"/>
    <w:rsid w:val="0042225C"/>
    <w:rsid w:val="00443798"/>
    <w:rsid w:val="004543A7"/>
    <w:rsid w:val="00460B89"/>
    <w:rsid w:val="004650C3"/>
    <w:rsid w:val="00470F0F"/>
    <w:rsid w:val="0048677A"/>
    <w:rsid w:val="00494258"/>
    <w:rsid w:val="004A6528"/>
    <w:rsid w:val="004B5F46"/>
    <w:rsid w:val="00525093"/>
    <w:rsid w:val="00531207"/>
    <w:rsid w:val="00537753"/>
    <w:rsid w:val="005505DB"/>
    <w:rsid w:val="005777FC"/>
    <w:rsid w:val="00584054"/>
    <w:rsid w:val="00597472"/>
    <w:rsid w:val="005C360C"/>
    <w:rsid w:val="005E3D8C"/>
    <w:rsid w:val="00610958"/>
    <w:rsid w:val="00634BF2"/>
    <w:rsid w:val="00640EE2"/>
    <w:rsid w:val="0065214C"/>
    <w:rsid w:val="00671921"/>
    <w:rsid w:val="00674FBA"/>
    <w:rsid w:val="00685F40"/>
    <w:rsid w:val="0068712F"/>
    <w:rsid w:val="00691406"/>
    <w:rsid w:val="006A14CD"/>
    <w:rsid w:val="006D58CF"/>
    <w:rsid w:val="006E6F05"/>
    <w:rsid w:val="006F6E15"/>
    <w:rsid w:val="007000BF"/>
    <w:rsid w:val="007217EB"/>
    <w:rsid w:val="007379D9"/>
    <w:rsid w:val="00744E55"/>
    <w:rsid w:val="00747CD8"/>
    <w:rsid w:val="007509EC"/>
    <w:rsid w:val="00756AE5"/>
    <w:rsid w:val="00767BF0"/>
    <w:rsid w:val="00802544"/>
    <w:rsid w:val="008139CB"/>
    <w:rsid w:val="008466E6"/>
    <w:rsid w:val="008618BA"/>
    <w:rsid w:val="00866A41"/>
    <w:rsid w:val="00874633"/>
    <w:rsid w:val="008754A2"/>
    <w:rsid w:val="008919CC"/>
    <w:rsid w:val="008B79E7"/>
    <w:rsid w:val="008C519C"/>
    <w:rsid w:val="008D2457"/>
    <w:rsid w:val="008D6174"/>
    <w:rsid w:val="008E2D4E"/>
    <w:rsid w:val="008E4AEF"/>
    <w:rsid w:val="008E4CD4"/>
    <w:rsid w:val="008F4154"/>
    <w:rsid w:val="00906940"/>
    <w:rsid w:val="009356A9"/>
    <w:rsid w:val="00967C90"/>
    <w:rsid w:val="009730DD"/>
    <w:rsid w:val="009938DD"/>
    <w:rsid w:val="00993D8C"/>
    <w:rsid w:val="009F1AC6"/>
    <w:rsid w:val="009F2306"/>
    <w:rsid w:val="00A0170B"/>
    <w:rsid w:val="00A07B8C"/>
    <w:rsid w:val="00A11415"/>
    <w:rsid w:val="00A249F7"/>
    <w:rsid w:val="00A317DB"/>
    <w:rsid w:val="00A353A7"/>
    <w:rsid w:val="00A438CE"/>
    <w:rsid w:val="00A46EE1"/>
    <w:rsid w:val="00A510E2"/>
    <w:rsid w:val="00A539E2"/>
    <w:rsid w:val="00A603BE"/>
    <w:rsid w:val="00A8295F"/>
    <w:rsid w:val="00A8524D"/>
    <w:rsid w:val="00A8788C"/>
    <w:rsid w:val="00AA3F51"/>
    <w:rsid w:val="00AA699A"/>
    <w:rsid w:val="00AB4AC5"/>
    <w:rsid w:val="00AB63E3"/>
    <w:rsid w:val="00AC69A7"/>
    <w:rsid w:val="00AE320C"/>
    <w:rsid w:val="00AF1D1A"/>
    <w:rsid w:val="00B24A55"/>
    <w:rsid w:val="00B55BE2"/>
    <w:rsid w:val="00B67F34"/>
    <w:rsid w:val="00B722BC"/>
    <w:rsid w:val="00B9610E"/>
    <w:rsid w:val="00BA3873"/>
    <w:rsid w:val="00BB0451"/>
    <w:rsid w:val="00BB45C5"/>
    <w:rsid w:val="00BD0647"/>
    <w:rsid w:val="00BE5A22"/>
    <w:rsid w:val="00C24B0A"/>
    <w:rsid w:val="00C26C9C"/>
    <w:rsid w:val="00C546A1"/>
    <w:rsid w:val="00C72BB7"/>
    <w:rsid w:val="00C815F9"/>
    <w:rsid w:val="00C82511"/>
    <w:rsid w:val="00C86AF9"/>
    <w:rsid w:val="00CB6445"/>
    <w:rsid w:val="00CC09F1"/>
    <w:rsid w:val="00CD7BEB"/>
    <w:rsid w:val="00CF4BF8"/>
    <w:rsid w:val="00D06489"/>
    <w:rsid w:val="00D1581B"/>
    <w:rsid w:val="00D17EEC"/>
    <w:rsid w:val="00D5067C"/>
    <w:rsid w:val="00D6040B"/>
    <w:rsid w:val="00D607AA"/>
    <w:rsid w:val="00D62F8F"/>
    <w:rsid w:val="00D63BD9"/>
    <w:rsid w:val="00DA1FE3"/>
    <w:rsid w:val="00DC018E"/>
    <w:rsid w:val="00DE6DF5"/>
    <w:rsid w:val="00DF4692"/>
    <w:rsid w:val="00DF6FB6"/>
    <w:rsid w:val="00E079AD"/>
    <w:rsid w:val="00E100DA"/>
    <w:rsid w:val="00E2734E"/>
    <w:rsid w:val="00E3208F"/>
    <w:rsid w:val="00E3604C"/>
    <w:rsid w:val="00E36C50"/>
    <w:rsid w:val="00E71220"/>
    <w:rsid w:val="00E7722B"/>
    <w:rsid w:val="00E87810"/>
    <w:rsid w:val="00EA20BE"/>
    <w:rsid w:val="00ED4765"/>
    <w:rsid w:val="00ED5281"/>
    <w:rsid w:val="00EE4870"/>
    <w:rsid w:val="00F0412D"/>
    <w:rsid w:val="00F1200F"/>
    <w:rsid w:val="00F31AE6"/>
    <w:rsid w:val="00F56DF9"/>
    <w:rsid w:val="00F624B3"/>
    <w:rsid w:val="00F82440"/>
    <w:rsid w:val="00F8536E"/>
    <w:rsid w:val="00F92881"/>
    <w:rsid w:val="00FB66E8"/>
    <w:rsid w:val="00FC19EA"/>
    <w:rsid w:val="00FC4F16"/>
    <w:rsid w:val="00FC717A"/>
    <w:rsid w:val="00FE1AFC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docId w15:val="{050A6FF9-996F-4225-98D4-69AF55D1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paragraph" w:styleId="NormalWeb">
    <w:name w:val="Normal (Web)"/>
    <w:basedOn w:val="Normal"/>
    <w:uiPriority w:val="99"/>
    <w:semiHidden/>
    <w:unhideWhenUsed/>
    <w:rsid w:val="00ED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A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A7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43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3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3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3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3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91406"/>
    <w:rPr>
      <w:color w:val="0563C1" w:themeColor="hyperlink"/>
      <w:u w:val="single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875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418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1362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895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94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359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364">
          <w:marLeft w:val="720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00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8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60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</c:v>
                </c:pt>
                <c:pt idx="1">
                  <c:v>65</c:v>
                </c:pt>
                <c:pt idx="2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7AE6AD71-BE45-4047-B5A0-185838A4B6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5111A-6A91-476A-9040-0ED9A49DC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B14648-CF55-4A9D-B6B7-CB12A99FF991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1688</Words>
  <Characters>9321</Characters>
  <Application>Microsoft Office Word</Application>
  <DocSecurity>0</DocSecurity>
  <Lines>251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STP-7-WASH</vt:lpstr>
    </vt:vector>
  </TitlesOfParts>
  <Manager>LM</Manager>
  <Company>Sphere</Company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STP-7-WASH</dc:title>
  <dc:subject>tradução de en-pt</dc:subject>
  <dc:creator>Jim Good;Luísa Merki</dc:creator>
  <cp:keywords>2021107</cp:keywords>
  <dc:description/>
  <cp:lastModifiedBy>Luisa</cp:lastModifiedBy>
  <cp:revision>17</cp:revision>
  <dcterms:created xsi:type="dcterms:W3CDTF">2019-04-18T11:52:00Z</dcterms:created>
  <dcterms:modified xsi:type="dcterms:W3CDTF">2021-07-09T20:02:00Z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6897000</vt:r8>
  </property>
</Properties>
</file>